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 PURSUANT TO</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SECTION 13 OR 15(d) OF THE</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2026</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HBT FINANCIAL,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001-39085</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37-1117216</w:t>
            </w:r>
          </w:p>
        </w:tc>
      </w:tr>
    </w:tbl>
    <w:p>
      <w:pPr>
        <w:spacing w:after="0" w:line="22" w:lineRule="exact"/>
        <w:rPr>
          <w:sz w:val="24"/>
          <w:szCs w:val="24"/>
          <w:color w:val="auto"/>
        </w:rPr>
      </w:pPr>
    </w:p>
    <w:p>
      <w:pPr>
        <w:sectPr>
          <w:pgSz w:w="11900" w:h="16838" w:orient="portrait"/>
          <w:cols w:equalWidth="0" w:num="1">
            <w:col w:w="11220"/>
          </w:cols>
          <w:pgMar w:left="320" w:top="1177" w:right="359" w:bottom="1440" w:gutter="0" w:footer="0" w:header="0"/>
        </w:sectPr>
      </w:pPr>
    </w:p>
    <w:p>
      <w:pPr>
        <w:jc w:val="center"/>
        <w:ind w:left="8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17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401 North Hershey Rd</w:t>
      </w:r>
    </w:p>
    <w:p>
      <w:pPr>
        <w:spacing w:after="0" w:line="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Bloomington, Illinois</w:t>
      </w:r>
    </w:p>
    <w:p>
      <w:pPr>
        <w:spacing w:after="0" w:line="1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7"/>
          <w:szCs w:val="17"/>
          <w:color w:val="auto"/>
        </w:rPr>
        <w:t>(Address of principal executive</w:t>
      </w:r>
    </w:p>
    <w:p>
      <w:pPr>
        <w:spacing w:after="0" w:line="1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offices)</w:t>
      </w:r>
    </w:p>
    <w:p>
      <w:pPr>
        <w:spacing w:after="0" w:line="20" w:lineRule="exact"/>
        <w:rPr>
          <w:sz w:val="24"/>
          <w:szCs w:val="24"/>
          <w:color w:val="auto"/>
        </w:rPr>
      </w:pPr>
      <w:r>
        <w:rPr>
          <w:sz w:val="24"/>
          <w:szCs w:val="24"/>
          <w:color w:val="auto"/>
        </w:rPr>
        <w:br w:type="column"/>
      </w:r>
    </w:p>
    <w:p>
      <w:pPr>
        <w:ind w:left="11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(309) 662-4444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36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61704</w:t>
      </w:r>
    </w:p>
    <w:p>
      <w:pPr>
        <w:spacing w:after="0" w:line="6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(Zip Code)</w:t>
      </w:r>
    </w:p>
    <w:p>
      <w:pPr>
        <w:spacing w:after="0" w:line="1664" w:lineRule="exact"/>
        <w:rPr>
          <w:sz w:val="24"/>
          <w:szCs w:val="24"/>
          <w:color w:val="auto"/>
        </w:rPr>
      </w:pPr>
    </w:p>
    <w:p>
      <w:pPr>
        <w:sectPr>
          <w:pgSz w:w="11900" w:h="16838" w:orient="portrait"/>
          <w:cols w:equalWidth="0" w:num="3">
            <w:col w:w="3140" w:space="280"/>
            <w:col w:w="4420" w:space="520"/>
            <w:col w:w="2860"/>
          </w:cols>
          <w:pgMar w:left="320" w:top="1177" w:right="359" w:bottom="1440" w:gutter="0" w:footer="0" w:header="0"/>
          <w:type w:val="continuous"/>
        </w:sectPr>
      </w:pPr>
    </w:p>
    <w:p>
      <w:pPr>
        <w:spacing w:after="0" w:line="1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22"/>
          <w:szCs w:val="22"/>
          <w:color w:val="auto"/>
        </w:rPr>
      </w:pPr>
    </w:p>
    <w:p>
      <w:pPr>
        <w:ind w:left="480" w:hanging="454"/>
        <w:spacing w:after="0" w:line="237"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8" w:lineRule="exact"/>
        <w:rPr>
          <w:rFonts w:ascii="MS PGothic" w:cs="MS PGothic" w:eastAsia="MS PGothic" w:hAnsi="MS PGothic"/>
          <w:sz w:val="22"/>
          <w:szCs w:val="22"/>
          <w:color w:val="auto"/>
        </w:rPr>
      </w:pPr>
    </w:p>
    <w:p>
      <w:pPr>
        <w:ind w:left="480" w:hanging="454"/>
        <w:spacing w:after="0" w:line="237"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8" w:lineRule="exact"/>
        <w:rPr>
          <w:rFonts w:ascii="MS PGothic" w:cs="MS PGothic" w:eastAsia="MS PGothic" w:hAnsi="MS PGothic"/>
          <w:sz w:val="22"/>
          <w:szCs w:val="22"/>
          <w:color w:val="auto"/>
        </w:rPr>
      </w:pPr>
    </w:p>
    <w:p>
      <w:pPr>
        <w:ind w:left="480" w:hanging="454"/>
        <w:spacing w:after="0" w:line="237"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HBT</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disclosed, on August 10, 2026, HBT Financial, Inc. (“HBT” or the “Company”) and Tri-County Financial Group, Inc. (“TYFG”) entered into an Agreement and Plan of Merger in connection with HBT's proposed acquisition of TYFG and its wholly owned bank subsidiary, First State Bank. On October 29, 2026, TYFG's stockholders approved the proposed transaction at a special meeting of its stockholders. The closing of the proposed merger remains subject to regulatory approval and certain other customary closing conditions. Subject to the satisfaction of those conditions, the Company currently expects the transaction to close early in the first quarter of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statements in this Current Report on Form 8-K and the exhibits filed herewith, including statements regarding the expected timetable for completion of the merger, the results, effects and benefits of the merger, future opportunities and any other statements regarding future expectations, beliefs, plans, objectives, financial conditions, assumptions or future events or performance that are not historical facts are forward-looking statements based on assumptions currently believed to be valid. Forward-looking statements may include statements relating to the Company’s plans, strategies and expectations, near-term loan growth, net interest margin, mortgage banking profits, wealth management fees, expenses, asset quality, capital levels, continued earnings, and liquidity. Forward-looking statements are generally identifiable by use of the words “believe,” “may,” “will,” “should,” “could,” “expect,” “estimate,” “intend,” “anticipate,” “project,” “plan” or similar expressions. Forward-looking statements are frequently based on assumptions that may or may not materialize and are subject to numerous uncertainties that could cause actual results to differ materially from those anticipated in the forward-looking statements. The forward-looking statements are intended to be subject to the safe harbor provided by Section 27A of the Securities Act, Section 21E of the Exchange Act and the Private Securities Litigation Reform Act of 1995.</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significant risks and uncertainties that could cause actual results to differ materially from those anticipated, including, but not limited to, the risk that a condition to closing of the merger may not be satisfied, that either party may terminate the merger agreement or that the closing of the merger might be delayed or not occur at all; potential adverse reactions or changes to business or employee relationships, including those resulting from the announcement or completion of the merger; the diversion of management time on merger-related issues; the ultimate timing, outcome and results of integrating the operations of TYFG into those of HBT; the effects of the merger with TYFG in HBT’s future financial condition, results of operations, strategy and plans; and regulatory approvals of the merger.</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 factors that could cause results to differ materially from those described above can be found in HBT’s Annual Report on Form 10-K for the year ended December 31, 2025, filed with the SEC on March 6, 2026, and in its subsequently filed Quarterly Reports on Form 10-Q, and in other documents HBT files with the SEC, each of which is on file with the SEC and available from HBT’s website at https://ir.hbtfinancial.com.</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All forward-looking statements speak only as of the date they are made and are based on information available at that time. Neither HBT nor TYFG assumes any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HBT FINANCIAL, INC.</w:t>
      </w:r>
    </w:p>
    <w:p>
      <w:pPr>
        <w:spacing w:after="0" w:line="351" w:lineRule="exact"/>
        <w:rPr>
          <w:sz w:val="20"/>
          <w:szCs w:val="20"/>
          <w:color w:val="auto"/>
        </w:rPr>
      </w:pPr>
    </w:p>
    <w:p>
      <w:pPr>
        <w:ind w:left="542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Peter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Peter R. Chapman</w:t>
      </w:r>
    </w:p>
    <w:p>
      <w:pPr>
        <w:spacing w:after="0" w:line="3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 2026</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2026-11-02T15:41:22Z</dcterms:created>
  <dcterms:modified xsi:type="dcterms:W3CDTF">2026-11-02T15:41:22Z</dcterms:modified>
</cp:coreProperties>
</file>