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 PURSUANT 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SECTION 13 OR 15(d) OF THE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HBT FINANCIAL,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001-39085</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37-1117216</w:t>
            </w:r>
          </w:p>
        </w:tc>
      </w:tr>
    </w:tbl>
    <w:p>
      <w:pPr>
        <w:spacing w:after="0" w:line="22" w:lineRule="exact"/>
        <w:rPr>
          <w:sz w:val="24"/>
          <w:szCs w:val="24"/>
          <w:color w:val="auto"/>
        </w:rPr>
      </w:pPr>
    </w:p>
    <w:p>
      <w:pPr>
        <w:sectPr>
          <w:pgSz w:w="11900" w:h="16838" w:orient="portrait"/>
          <w:cols w:equalWidth="0" w:num="1">
            <w:col w:w="11220"/>
          </w:cols>
          <w:pgMar w:left="320" w:top="1177" w:right="359" w:bottom="1440" w:gutter="0" w:footer="0" w:header="0"/>
        </w:sectPr>
      </w:pPr>
    </w:p>
    <w:p>
      <w:pPr>
        <w:jc w:val="cente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17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401 North Hershey Road</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Bloomington, Illinois</w:t>
      </w:r>
    </w:p>
    <w:p>
      <w:pPr>
        <w:spacing w:after="0" w:line="1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7"/>
          <w:szCs w:val="17"/>
          <w:color w:val="auto"/>
        </w:rPr>
        <w:t>(Address of principal executive</w:t>
      </w:r>
    </w:p>
    <w:p>
      <w:pPr>
        <w:spacing w:after="0" w:line="1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offices)</w:t>
      </w:r>
    </w:p>
    <w:p>
      <w:pPr>
        <w:spacing w:after="0" w:line="20" w:lineRule="exact"/>
        <w:rPr>
          <w:sz w:val="24"/>
          <w:szCs w:val="24"/>
          <w:color w:val="auto"/>
        </w:rPr>
      </w:pPr>
      <w:r>
        <w:rPr>
          <w:sz w:val="24"/>
          <w:szCs w:val="24"/>
          <w:color w:val="auto"/>
        </w:rPr>
        <w:br w:type="column"/>
      </w:r>
    </w:p>
    <w:p>
      <w:pPr>
        <w:ind w:lef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(309) 662-4444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36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61704</w:t>
      </w:r>
    </w:p>
    <w:p>
      <w:pPr>
        <w:spacing w:after="0" w:line="6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(Zip Code)</w:t>
      </w:r>
    </w:p>
    <w:p>
      <w:pPr>
        <w:spacing w:after="0" w:line="1664" w:lineRule="exact"/>
        <w:rPr>
          <w:sz w:val="24"/>
          <w:szCs w:val="24"/>
          <w:color w:val="auto"/>
        </w:rPr>
      </w:pPr>
    </w:p>
    <w:p>
      <w:pPr>
        <w:sectPr>
          <w:pgSz w:w="11900" w:h="16838" w:orient="portrait"/>
          <w:cols w:equalWidth="0" w:num="3">
            <w:col w:w="3140" w:space="280"/>
            <w:col w:w="4420" w:space="520"/>
            <w:col w:w="2860"/>
          </w:cols>
          <w:pgMar w:left="320" w:top="1177" w:right="359" w:bottom="1440" w:gutter="0" w:footer="0" w:header="0"/>
          <w:type w:val="continuous"/>
        </w:sectPr>
      </w:pPr>
    </w:p>
    <w:p>
      <w:pPr>
        <w:spacing w:after="0" w:line="1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8"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8" w:lineRule="exact"/>
        <w:rPr>
          <w:rFonts w:ascii="MS PGothic" w:cs="MS PGothic" w:eastAsia="MS PGothic" w:hAnsi="MS PGothic"/>
          <w:sz w:val="22"/>
          <w:szCs w:val="22"/>
          <w:color w:val="auto"/>
        </w:rPr>
      </w:pPr>
    </w:p>
    <w:p>
      <w:pPr>
        <w:ind w:left="480" w:hanging="454"/>
        <w:spacing w:after="0" w:line="237"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HBT</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4"/>
          <w:szCs w:val="24"/>
          <w:color w:val="auto"/>
        </w:rPr>
      </w:pPr>
    </w:p>
    <w:p>
      <w:pPr>
        <w:ind w:right="14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October 27, 2026, the Board of Directors of HBT Financial, Inc. (the “Company”) declared a quarterly cash dividend of $0.25 per share on the Company’s common stock (the “Dividend”). The Dividend is payable on November 17, 2026 to shareholders of record as of November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43" w:right="10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HBT FINANCIAL, INC.</w:t>
      </w:r>
    </w:p>
    <w:p>
      <w:pPr>
        <w:spacing w:after="0" w:line="351" w:lineRule="exact"/>
        <w:rPr>
          <w:sz w:val="20"/>
          <w:szCs w:val="20"/>
          <w:color w:val="auto"/>
        </w:rPr>
      </w:pPr>
    </w:p>
    <w:p>
      <w:pPr>
        <w:ind w:left="542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Peter R. Chapman</w:t>
      </w:r>
    </w:p>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28, 2026</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2026-10-28T07:41:59Z</dcterms:created>
  <dcterms:modified xsi:type="dcterms:W3CDTF">2026-10-28T07:41:59Z</dcterms:modified>
</cp:coreProperties>
</file>